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drawing>
          <wp:anchor behindDoc="0" distT="0" distB="0" distL="133350" distR="114300" simplePos="0" locked="0" layoutInCell="0" allowOverlap="1" relativeHeight="2">
            <wp:simplePos x="0" y="0"/>
            <wp:positionH relativeFrom="column">
              <wp:posOffset>2442845</wp:posOffset>
            </wp:positionH>
            <wp:positionV relativeFrom="paragraph">
              <wp:posOffset>-219075</wp:posOffset>
            </wp:positionV>
            <wp:extent cx="838200" cy="876300"/>
            <wp:effectExtent l="0" t="0" r="0" b="0"/>
            <wp:wrapSquare wrapText="bothSides"/>
            <wp:docPr id="1" name="Imagem 1" descr="brasao_p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brasao_pb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 w:ascii="Arial" w:hAnsi="Arial"/>
          <w:b/>
          <w:bCs/>
          <w:iCs/>
          <w:color w:val="000000"/>
          <w:sz w:val="20"/>
          <w:szCs w:val="20"/>
        </w:rPr>
        <w:t xml:space="preserve">                                                             </w:t>
      </w:r>
      <w:r>
        <w:rPr>
          <w:rFonts w:cs="Arial" w:ascii="Arial" w:hAnsi="Arial"/>
          <w:b/>
          <w:bCs/>
          <w:iCs/>
          <w:color w:val="000000"/>
          <w:sz w:val="20"/>
          <w:szCs w:val="20"/>
        </w:rPr>
        <w:br/>
      </w:r>
    </w:p>
    <w:p>
      <w:pPr>
        <w:pStyle w:val="Normal"/>
        <w:jc w:val="center"/>
        <w:rPr>
          <w:rFonts w:ascii="Arial" w:hAnsi="Arial" w:cs="Arial"/>
          <w:b/>
          <w:b/>
          <w:bCs/>
          <w:smallCaps/>
          <w:sz w:val="22"/>
          <w:szCs w:val="22"/>
        </w:rPr>
      </w:pPr>
      <w:r>
        <w:rPr>
          <w:rFonts w:cs="Arial" w:ascii="Arial" w:hAnsi="Arial"/>
          <w:b/>
          <w:bCs/>
          <w:smallCaps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mallCaps/>
          <w:sz w:val="22"/>
          <w:szCs w:val="22"/>
        </w:rPr>
      </w:pPr>
      <w:r>
        <w:rPr>
          <w:rFonts w:cs="Arial" w:ascii="Arial" w:hAnsi="Arial"/>
          <w:b/>
          <w:bCs/>
          <w:smallCaps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mallCaps/>
          <w:sz w:val="22"/>
          <w:szCs w:val="22"/>
        </w:rPr>
      </w:pPr>
      <w:r>
        <w:rPr>
          <w:rFonts w:cs="Arial" w:ascii="Arial" w:hAnsi="Arial"/>
          <w:b/>
          <w:bCs/>
          <w:smallCaps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smallCaps/>
          <w:sz w:val="22"/>
          <w:szCs w:val="22"/>
        </w:rPr>
        <w:t>Ministério da Defesa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smallCaps/>
          <w:sz w:val="22"/>
          <w:szCs w:val="22"/>
        </w:rPr>
        <w:t>Exército Brasileiro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sz w:val="22"/>
          <w:szCs w:val="22"/>
        </w:rPr>
        <w:t xml:space="preserve">C M S    6ª D E     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smallCaps/>
          <w:sz w:val="22"/>
          <w:szCs w:val="22"/>
        </w:rPr>
        <w:t>12º Regimeto de Cavalaria Mecanizado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smallCaps/>
          <w:sz w:val="22"/>
          <w:szCs w:val="22"/>
        </w:rPr>
        <w:t>(2º R Auto Mtr de Cav/1943)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sz w:val="22"/>
          <w:szCs w:val="22"/>
        </w:rPr>
        <w:t>REGIMENTO MARECHAL JOSÉ PESSOA</w:t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Cs w:val="20"/>
        </w:rPr>
      </w:pPr>
      <w:r>
        <w:rPr>
          <w:rFonts w:cs="Arial" w:ascii="Arial" w:hAnsi="Arial"/>
          <w:b/>
          <w:bCs/>
          <w:iCs/>
          <w:szCs w:val="20"/>
        </w:rPr>
      </w:r>
    </w:p>
    <w:p>
      <w:pPr>
        <w:pStyle w:val="Normal"/>
        <w:spacing w:lineRule="auto" w:line="360"/>
        <w:jc w:val="center"/>
        <w:rPr/>
      </w:pPr>
      <w:r>
        <w:rPr>
          <w:rFonts w:cs="Arial" w:ascii="Arial" w:hAnsi="Arial"/>
          <w:b/>
          <w:bCs/>
          <w:i w:val="false"/>
          <w:iCs/>
          <w:sz w:val="20"/>
          <w:szCs w:val="20"/>
        </w:rPr>
        <w:t xml:space="preserve">ATA DE REGISTRO DE PREÇOS Nº </w:t>
      </w:r>
      <w:r>
        <w:rPr>
          <w:rFonts w:eastAsia="Times New Roman" w:cs="Arial" w:ascii="Arial" w:hAnsi="Arial"/>
          <w:b/>
          <w:bCs/>
          <w:i w:val="false"/>
          <w:iCs/>
          <w:color w:val="000000"/>
          <w:kern w:val="0"/>
          <w:sz w:val="20"/>
          <w:szCs w:val="20"/>
          <w:lang w:val="pt-BR" w:eastAsia="pt-BR" w:bidi="ar-SA"/>
        </w:rPr>
        <w:t>05</w:t>
      </w:r>
      <w:r>
        <w:rPr>
          <w:rFonts w:cs="Arial" w:ascii="Arial" w:hAnsi="Arial"/>
          <w:b/>
          <w:bCs/>
          <w:i w:val="false"/>
          <w:iCs/>
          <w:sz w:val="20"/>
          <w:szCs w:val="20"/>
        </w:rPr>
        <w:t>/202</w:t>
      </w:r>
      <w:r>
        <w:rPr>
          <w:rFonts w:eastAsia="Times New Roman" w:cs="Arial" w:ascii="Arial" w:hAnsi="Arial"/>
          <w:b/>
          <w:bCs/>
          <w:i w:val="false"/>
          <w:iCs/>
          <w:color w:val="000000"/>
          <w:kern w:val="0"/>
          <w:sz w:val="20"/>
          <w:szCs w:val="20"/>
          <w:lang w:val="pt-BR" w:eastAsia="pt-BR" w:bidi="ar-SA"/>
        </w:rPr>
        <w:t>4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b w:val="false"/>
          <w:b w:val="false"/>
          <w:bCs w:val="false"/>
          <w:highlight w:val="none"/>
          <w:shd w:fill="auto" w:val="clear"/>
        </w:rPr>
      </w:pPr>
      <w:r>
        <w:rPr>
          <w:rFonts w:cs="Arial" w:ascii="Arial" w:hAnsi="Arial"/>
          <w:b w:val="false"/>
          <w:bCs w:val="false"/>
          <w:sz w:val="20"/>
          <w:szCs w:val="20"/>
          <w:shd w:fill="auto" w:val="clear"/>
        </w:rPr>
        <w:t xml:space="preserve">N.º 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pt-BR" w:bidi="ar-SA"/>
        </w:rPr>
        <w:t>64681.002425/2024-08</w:t>
      </w:r>
    </w:p>
    <w:p>
      <w:pPr>
        <w:pStyle w:val="Normal"/>
        <w:widowControl w:val="false"/>
        <w:spacing w:lineRule="auto" w:line="360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right="-28" w:firstLine="1418"/>
        <w:jc w:val="both"/>
        <w:rPr/>
      </w:pPr>
      <w:r>
        <w:rPr>
          <w:rFonts w:cs="Arial" w:ascii="Arial" w:hAnsi="Arial"/>
          <w:color w:val="000000"/>
          <w:sz w:val="20"/>
          <w:szCs w:val="20"/>
        </w:rPr>
        <w:t>A União, representada pelo(a) 12º Regimento de Cavalaria Mecanizado, com sede  na Rua Duque de Caxias S/N, Centro, Jaguarão/RS, inscrito(a) no CNPJ sob o nº 10.271.737/0001-00, neste ato representada(o) pelo Sr Major Jo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ão Mauricio Passuelo Zannette</w:t>
      </w:r>
      <w:r>
        <w:rPr>
          <w:rFonts w:cs="Arial" w:ascii="Arial" w:hAnsi="Arial"/>
          <w:color w:val="000000"/>
          <w:sz w:val="20"/>
          <w:szCs w:val="20"/>
        </w:rPr>
        <w:t xml:space="preserve">, nomeado pela  Portaria nº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743</w:t>
      </w:r>
      <w:r>
        <w:rPr>
          <w:rFonts w:cs="Arial" w:ascii="Arial" w:hAnsi="Arial"/>
          <w:color w:val="000000"/>
          <w:sz w:val="20"/>
          <w:szCs w:val="20"/>
        </w:rPr>
        <w:t xml:space="preserve"> de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7</w:t>
      </w:r>
      <w:r>
        <w:rPr>
          <w:rFonts w:cs="Arial" w:ascii="Arial" w:hAnsi="Arial"/>
          <w:color w:val="000000"/>
          <w:sz w:val="20"/>
          <w:szCs w:val="20"/>
        </w:rPr>
        <w:t xml:space="preserve"> de junho de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2023</w:t>
      </w:r>
      <w:r>
        <w:rPr>
          <w:rFonts w:cs="Arial" w:ascii="Arial" w:hAnsi="Arial"/>
          <w:color w:val="000000"/>
          <w:sz w:val="20"/>
          <w:szCs w:val="20"/>
        </w:rPr>
        <w:t>, publicada no</w:t>
      </w:r>
      <w:r>
        <w:rPr>
          <w:rFonts w:cs="Arial" w:ascii="Arial" w:hAnsi="Arial"/>
          <w:color w:val="000000"/>
          <w:sz w:val="20"/>
          <w:szCs w:val="20"/>
          <w:shd w:fill="FFFFFF" w:val="clear"/>
        </w:rPr>
        <w:t xml:space="preserve"> DOU nº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shd w:fill="FFFFFF" w:val="clear"/>
          <w:lang w:val="pt-BR" w:eastAsia="pt-BR" w:bidi="ar-SA"/>
        </w:rPr>
        <w:t>109</w:t>
      </w:r>
      <w:r>
        <w:rPr>
          <w:rFonts w:cs="Arial" w:ascii="Arial" w:hAnsi="Arial"/>
          <w:color w:val="000000"/>
          <w:sz w:val="20"/>
          <w:szCs w:val="20"/>
          <w:shd w:fill="FFFFFF" w:val="clear"/>
        </w:rPr>
        <w:t xml:space="preserve"> de 12 de junho de 2023, </w:t>
      </w:r>
      <w:r>
        <w:rPr>
          <w:rFonts w:cs="Arial" w:ascii="Arial" w:hAnsi="Arial"/>
          <w:color w:val="000000"/>
          <w:sz w:val="20"/>
          <w:szCs w:val="20"/>
        </w:rPr>
        <w:t>inscrito no CPF nº 688.851.561-34, portador da carteira de identidade nº 011399534-4, emitida pelo Exército Brasileiro-Ministério e em conformidade com as atribuições que lhe foram conferidas pelo Comandante do Exército considerando o julgamento da licitação na modalidade de pregão, na forma eletrônica, para REGISTRO DE PREÇOS nº 0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4</w:t>
      </w:r>
      <w:r>
        <w:rPr>
          <w:rFonts w:cs="Arial" w:ascii="Arial" w:hAnsi="Arial"/>
          <w:color w:val="000000"/>
          <w:sz w:val="20"/>
          <w:szCs w:val="20"/>
        </w:rPr>
        <w:t>/202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4</w:t>
      </w:r>
      <w:r>
        <w:rPr>
          <w:rFonts w:cs="Arial" w:ascii="Arial" w:hAnsi="Arial"/>
          <w:color w:val="000000"/>
          <w:sz w:val="20"/>
          <w:szCs w:val="20"/>
        </w:rPr>
        <w:t>, publicada no Diário Oficial da União de XX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 xml:space="preserve"> de XXXXX de 2024</w:t>
      </w:r>
      <w:r>
        <w:rPr>
          <w:rFonts w:cs="Arial" w:ascii="Arial" w:hAnsi="Arial"/>
          <w:color w:val="000000"/>
          <w:sz w:val="20"/>
          <w:szCs w:val="20"/>
        </w:rPr>
        <w:t xml:space="preserve">, processo administrativo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n.º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64681.002425/2024-08</w:t>
      </w:r>
      <w:r>
        <w:rPr>
          <w:rFonts w:eastAsia="Times New Roman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pt-BR" w:bidi="ar-SA"/>
        </w:rPr>
        <w:t>,</w:t>
      </w:r>
      <w:r>
        <w:rPr>
          <w:rFonts w:cs="Arial" w:ascii="Arial" w:hAnsi="Arial"/>
          <w:color w:val="000000"/>
          <w:sz w:val="20"/>
          <w:szCs w:val="20"/>
        </w:rPr>
        <w:t xml:space="preserve"> RESOLVE registrar os preços da(s) empresa(s) indicada(s) e qualificada(s) nesta ATA, de acordo com a classificação por ela(s) alcançada(s) e na(s) quantidade(s) cotada(s), atendendo as condições previstas no edital</w:t>
      </w:r>
      <w:r>
        <w:rPr>
          <w:rFonts w:cs="Arial" w:ascii="Arial" w:hAnsi="Arial"/>
          <w:sz w:val="20"/>
          <w:szCs w:val="20"/>
        </w:rPr>
        <w:t>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 OBJETO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/>
      </w:pPr>
      <w:r>
        <w:rPr>
          <w:rFonts w:cs="Arial" w:ascii="Arial" w:hAnsi="Arial"/>
          <w:sz w:val="20"/>
          <w:szCs w:val="20"/>
        </w:rPr>
        <w:t xml:space="preserve">A presente Ata tem por objeto o registro de preços para a eventual aquisição de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 xml:space="preserve">material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elétrico</w:t>
      </w:r>
      <w:r>
        <w:rPr>
          <w:rFonts w:cs="Arial" w:ascii="Arial" w:hAnsi="Arial"/>
          <w:sz w:val="20"/>
          <w:szCs w:val="20"/>
        </w:rPr>
        <w:t xml:space="preserve">, especificado no item 01 ao </w:t>
      </w:r>
      <w:r>
        <w:rPr>
          <w:rFonts w:cs="Arial" w:ascii="Arial" w:hAnsi="Arial"/>
          <w:sz w:val="20"/>
          <w:szCs w:val="20"/>
        </w:rPr>
        <w:t>52</w:t>
      </w:r>
      <w:r>
        <w:rPr>
          <w:rFonts w:cs="Arial" w:ascii="Arial" w:hAnsi="Arial"/>
          <w:sz w:val="20"/>
          <w:szCs w:val="20"/>
        </w:rPr>
        <w:t xml:space="preserve"> do Termo de Referência, anexo ao edital do Pregão nº 0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5</w:t>
      </w:r>
      <w:r>
        <w:rPr>
          <w:rFonts w:cs="Arial" w:ascii="Arial" w:hAnsi="Arial"/>
          <w:sz w:val="20"/>
          <w:szCs w:val="20"/>
        </w:rPr>
        <w:t>/202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val="pt-BR" w:eastAsia="pt-BR" w:bidi="ar-SA"/>
        </w:rPr>
        <w:t>4</w:t>
      </w:r>
      <w:r>
        <w:rPr>
          <w:rFonts w:cs="Arial" w:ascii="Arial" w:hAnsi="Arial"/>
          <w:sz w:val="20"/>
          <w:szCs w:val="20"/>
        </w:rPr>
        <w:t>, que é parte integrante desta Ata, assim como a proposta vencedora, independentemente de transcrição.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494"/>
        <w:gridCol w:w="1336"/>
        <w:gridCol w:w="1253"/>
        <w:gridCol w:w="1541"/>
        <w:gridCol w:w="1122"/>
        <w:gridCol w:w="1120"/>
        <w:gridCol w:w="842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/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/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ÓRGÃO(S) GERENCIADOR E  PARTICIPANTE(S)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792" w:hanging="432"/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>O órgão gerenciador será o 12º Regimento de Cavalaria Mecanizado.</w:t>
      </w:r>
    </w:p>
    <w:p>
      <w:pPr>
        <w:pStyle w:val="Nvel2Red"/>
        <w:numPr>
          <w:ilvl w:val="1"/>
          <w:numId w:val="1"/>
        </w:numPr>
        <w:ind w:left="0" w:hanging="0"/>
        <w:rPr/>
      </w:pPr>
      <w:r>
        <w:rPr>
          <w:i w:val="false"/>
          <w:iCs w:val="false"/>
          <w:color w:val="000000"/>
        </w:rPr>
        <w:t xml:space="preserve">Além do gerenciador </w:t>
      </w:r>
      <w:r>
        <w:rPr>
          <w:rFonts w:cs="Arial"/>
          <w:i w:val="false"/>
          <w:iCs w:val="false"/>
          <w:color w:val="000000"/>
          <w:sz w:val="20"/>
          <w:szCs w:val="20"/>
        </w:rPr>
        <w:t>s</w:t>
      </w:r>
      <w:r>
        <w:rPr>
          <w:i w:val="false"/>
          <w:iCs w:val="false"/>
          <w:color w:val="000000"/>
        </w:rPr>
        <w:t>ão órgãos e entidades públicas participantes do registro de preços: 8º Batalh</w:t>
      </w:r>
      <w:r>
        <w:rPr>
          <w:rFonts w:eastAsia="Times New Roman" w:cs="Arial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ão Logístico</w:t>
      </w:r>
      <w:r>
        <w:rPr>
          <w:rFonts w:cs="Arial"/>
          <w:i w:val="false"/>
          <w:iCs w:val="false"/>
          <w:color w:val="000000"/>
          <w:sz w:val="20"/>
          <w:szCs w:val="20"/>
        </w:rPr>
        <w:t xml:space="preserve">, </w:t>
      </w:r>
      <w:r>
        <w:rPr>
          <w:rFonts w:eastAsia="Times New Roman" w:cs="Arial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 xml:space="preserve">27 </w:t>
      </w:r>
      <w:r>
        <w:rPr>
          <w:rFonts w:eastAsia="Times New Roman" w:cs="Arial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Grupo de Artilharia de Campanha e 3 Regimento de Cavalaria de Guarda</w:t>
      </w:r>
      <w:r>
        <w:rPr>
          <w:rFonts w:cs="Arial"/>
          <w:i w:val="false"/>
          <w:iCs w:val="false"/>
          <w:color w:val="000000"/>
          <w:sz w:val="20"/>
          <w:szCs w:val="20"/>
        </w:rPr>
        <w:t>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 xml:space="preserve">DA ADESÃO À ATA DE REGISTRO DE PREÇOS </w:t>
      </w:r>
    </w:p>
    <w:p>
      <w:pPr>
        <w:pStyle w:val="Nvel2Red"/>
        <w:numPr>
          <w:ilvl w:val="1"/>
          <w:numId w:val="1"/>
        </w:numPr>
        <w:ind w:left="0" w:hanging="0"/>
        <w:rPr/>
      </w:pPr>
      <w:r>
        <w:rPr>
          <w:i w:val="false"/>
          <w:iCs w:val="false"/>
          <w:color w:val="000000"/>
          <w:u w:val="none"/>
          <w:lang w:eastAsia="en-US"/>
        </w:rPr>
        <w:t xml:space="preserve"> </w:t>
      </w:r>
      <w:r>
        <w:rPr>
          <w:i w:val="false"/>
          <w:iCs w:val="false"/>
          <w:color w:val="000000"/>
          <w:u w:val="none"/>
          <w:lang w:eastAsia="en-US"/>
        </w:rPr>
        <w:t>Não será admitida a adesão à ata de registro de preços decorrente desta licitação ou desta contratação direta, conforme justificativa apresentada nos estudos técnicos preliminares.</w:t>
      </w:r>
    </w:p>
    <w:p>
      <w:pPr>
        <w:pStyle w:val="SubTitNN"/>
        <w:rPr/>
      </w:pPr>
      <w:r>
        <w:rPr/>
        <w:t>Vedação a acréscimo de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validade da Ata de Registro de Preços será de 1 (um) ano, contado a partir do primeiro dia útil subsequente à data de divulgação no PNCP, </w:t>
      </w:r>
      <w:r>
        <w:rPr>
          <w:color w:val="000000"/>
        </w:rPr>
        <w:t>podendo ser prorrogada por igual período, mediante a anuência do fornecedor, desde que comprovado o preço vantajoso.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i w:val="false"/>
          <w:iCs w:val="false"/>
          <w:color w:val="000000"/>
        </w:rPr>
        <w:t>Serão registrados na ata os preços e os quantita</w:t>
      </w:r>
      <w:r>
        <w:rPr>
          <w:rFonts w:eastAsia="Arial"/>
          <w:i w:val="false"/>
          <w:iCs w:val="false"/>
          <w:color w:val="000000"/>
        </w:rPr>
        <w:t>ti</w:t>
      </w:r>
      <w:r>
        <w:rPr>
          <w:i w:val="false"/>
          <w:iCs w:val="false"/>
          <w:color w:val="000000"/>
        </w:rPr>
        <w:t>vos do adjudicatário, devendo ser observada a possibilidade de o licitante oferecer ou não proposta em quantitativo inferior ao máximo previsto no edital  e se obrigar nos limites dela;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rPr/>
        <w:instrText xml:space="preserve"> REF cadastro_reserva \r \h </w:instrText>
      </w:r>
      <w:r>
        <w:rPr/>
        <w:fldChar w:fldCharType="separate"/>
      </w:r>
      <w:r>
        <w:rPr/>
        <w:t>5.4.2.2</w:t>
      </w:r>
      <w:r>
        <w:rPr/>
        <w:fldChar w:fldCharType="end"/>
      </w:r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i w:val="false"/>
          <w:iCs w:val="false"/>
          <w:color w:val="000000"/>
        </w:rPr>
        <w:t>Quando o licitante vencedor não assinar a ata de registro de preços, no prazo e nas condições estabelecidos no edital e</w:t>
      </w:r>
      <w:r>
        <w:rPr/>
        <w:t>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Quando houver o cancelamento do registro do licitante ou do registro de preços nas hipóteses previstas no item </w:t>
      </w:r>
      <w:r>
        <w:rPr/>
        <w:fldChar w:fldCharType="begin"/>
      </w:r>
      <w:r>
        <w:rPr/>
        <w:instrText xml:space="preserve"> REF cancelamento \r \h </w:instrText>
      </w:r>
      <w:r>
        <w:rPr/>
        <w:fldChar w:fldCharType="separate"/>
      </w:r>
      <w:r>
        <w:rPr/>
        <w:t>9</w:t>
      </w:r>
      <w:r>
        <w:rPr/>
        <w:fldChar w:fldCharType="end"/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Quando o convocado não assinar a ata de registro de preços no prazo e nas condições estabelecidos no edital ou no aviso de contratação, e observado o disposto no item,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>
          <w:i w:val="false"/>
          <w:iCs w:val="false"/>
          <w:color w:val="000000"/>
        </w:rPr>
        <w:t>Na hipótese de nenhum dos licitantes que trata o item 5.4.2.1, aceitar a contratação nos termos do item anterior, a Administração, observados o valor es</w:t>
      </w:r>
      <w:r>
        <w:rPr>
          <w:rFonts w:eastAsia="Arial"/>
          <w:i w:val="false"/>
          <w:iCs w:val="false"/>
          <w:color w:val="000000"/>
        </w:rPr>
        <w:t>ti</w:t>
      </w:r>
      <w:r>
        <w:rPr>
          <w:i w:val="false"/>
          <w:iCs w:val="false"/>
          <w:color w:val="000000"/>
        </w:rPr>
        <w:t>mado e sua eventual atualização nos termos do edital</w:t>
      </w:r>
      <w:r>
        <w:rPr/>
        <w:t>, poderá: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Os preços registrados poderão ser alterados ou atualizados em decorrência de eventual </w:t>
      </w:r>
      <w:r>
        <w:rPr>
          <w:color w:val="000000"/>
        </w:rPr>
        <w:t>redução dos preços pra</w:t>
      </w:r>
      <w:r>
        <w:rPr>
          <w:rFonts w:eastAsia="Calibri"/>
          <w:color w:val="000000"/>
        </w:rPr>
        <w:t>ti</w:t>
      </w:r>
      <w:r>
        <w:rPr>
          <w:color w:val="000000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left="284" w:hanging="0"/>
        <w:rPr>
          <w:color w:val="000000"/>
        </w:rPr>
      </w:pPr>
      <w:r>
        <w:rPr>
          <w:color w:val="000000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r>
        <w:rPr/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rFonts w:cs="Calibri" w:ascii="Calibri" w:hAnsi="Calibri"/>
        </w:rPr>
        <w:t>Na hipótese de</w:t>
      </w:r>
      <w:r>
        <w:rPr/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rPr/>
        <w:instrText xml:space="preserve"> REF cancelamento_do_fornecedor \r \h </w:instrText>
      </w:r>
      <w:r>
        <w:rPr/>
        <w:fldChar w:fldCharType="separate"/>
      </w:r>
      <w:r>
        <w:rPr/>
        <w:t>9.1</w:t>
      </w:r>
      <w:r>
        <w:rPr/>
        <w:fldChar w:fldCharType="end"/>
      </w:r>
      <w:r>
        <w:rPr/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rPr/>
        <w:instrText xml:space="preserve"> REF cancelamento_da_ata \r \h </w:instrText>
      </w:r>
      <w:r>
        <w:rPr/>
        <w:fldChar w:fldCharType="separate"/>
      </w:r>
      <w:r>
        <w:rPr/>
        <w:t>9.4</w:t>
      </w:r>
      <w:r>
        <w:rPr/>
        <w:fldChar w:fldCharType="end"/>
      </w:r>
      <w:r>
        <w:rPr/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rPr/>
        <w:instrText xml:space="preserve"> REF hipotese_preco_mercado_maior \r \h </w:instrText>
      </w:r>
      <w:r>
        <w:rPr/>
        <w:fldChar w:fldCharType="separate"/>
      </w:r>
      <w:r>
        <w:rPr/>
        <w:t>7.2</w:t>
      </w:r>
      <w:r>
        <w:rPr/>
        <w:fldChar w:fldCharType="end"/>
      </w:r>
      <w:r>
        <w:rPr/>
        <w:t xml:space="preserve"> e no item </w:t>
      </w:r>
      <w:r>
        <w:rPr/>
        <w:fldChar w:fldCharType="begin"/>
      </w:r>
      <w:r>
        <w:rPr/>
        <w:instrText xml:space="preserve"> REF prova_preco_mercado_maior \r \h </w:instrText>
      </w:r>
      <w:r>
        <w:rPr/>
        <w:fldChar w:fldCharType="separate"/>
      </w:r>
      <w:r>
        <w:rPr/>
        <w:t>7.2.1</w:t>
      </w:r>
      <w:r>
        <w:rPr/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r>
        <w:rPr/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rPr/>
        <w:instrText xml:space="preserve"> REF gerenciador_estimador_é_partic_em_remane \r \h </w:instrText>
      </w:r>
      <w:r>
        <w:rPr/>
        <w:fldChar w:fldCharType="separate"/>
      </w:r>
      <w:r>
        <w:rPr/>
        <w:t>8.3</w:t>
      </w:r>
      <w:r>
        <w:rPr/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left="0" w:hanging="0"/>
        <w:rPr>
          <w:iCs/>
        </w:rPr>
      </w:pPr>
      <w:r>
        <w:rPr/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rPr/>
        <w:instrText xml:space="preserve"> REF cancelamento_do_fornecedor \r \h </w:instrText>
      </w:r>
      <w:r>
        <w:rPr/>
        <w:fldChar w:fldCharType="separate"/>
      </w:r>
      <w:r>
        <w:rPr/>
        <w:t>9.1</w:t>
      </w:r>
      <w:r>
        <w:rPr/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/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Por razão de interesse público;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ind w:left="0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O descumprimento da Ata de Registro de Preços ensejará aplicação das penalidades estabelecidas no edital.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>
          <w:i w:val="false"/>
          <w:iCs w:val="false"/>
          <w:color w:val="000000"/>
        </w:rPr>
        <w:t>As condições gerais de execução do objeto, tais como os prazos para entrega e recebimento, as obrigações da Administração e do fornecedor registrado, penalidades e demais condições do ajuste, encontram-se definidos no Termo de Referência, ANEXO AO EDITAL .</w:t>
      </w:r>
    </w:p>
    <w:p>
      <w:pPr>
        <w:pStyle w:val="Normal"/>
        <w:widowControl w:val="false"/>
        <w:spacing w:lineRule="auto" w:line="276" w:before="120" w:after="120"/>
        <w:ind w:right="-15" w:hanging="0"/>
        <w:jc w:val="both"/>
        <w:rPr>
          <w:i w:val="false"/>
          <w:i w:val="false"/>
          <w:iCs w:val="false"/>
          <w:color w:val="000000"/>
        </w:rPr>
      </w:pP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 xml:space="preserve">Para firmeza e validade do pactuado, a presente Ata foi lavrada em </w:t>
      </w:r>
      <w:r>
        <w:rPr>
          <w:rFonts w:eastAsia="Times New Roman" w:cs="Arial" w:ascii="Arial" w:hAnsi="Arial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02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 xml:space="preserve"> (</w:t>
      </w:r>
      <w:r>
        <w:rPr>
          <w:rFonts w:eastAsia="Times New Roman" w:cs="Arial" w:ascii="Arial" w:hAnsi="Arial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duas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 xml:space="preserve">) vias de igual teor, que, depois de lida e achada em ordem, vai assinada pelas partes e encaminhada cópia aos demais órgãos participantes (se houver). </w:t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 </w:t>
      </w:r>
      <w:r>
        <w:rPr>
          <w:rFonts w:cs="Arial" w:ascii="Arial" w:hAnsi="Arial"/>
          <w:color w:val="000000"/>
          <w:sz w:val="20"/>
          <w:szCs w:val="20"/>
        </w:rPr>
        <w:t xml:space="preserve">Jaguarão,          de                           de </w:t>
      </w:r>
      <w:r>
        <w:rPr>
          <w:rFonts w:eastAsia="Times New Roman" w:cs="Arial" w:ascii="Arial" w:hAnsi="Arial"/>
          <w:color w:val="00000A"/>
          <w:kern w:val="0"/>
          <w:sz w:val="20"/>
          <w:szCs w:val="20"/>
          <w:lang w:val="pt-BR" w:eastAsia="pt-BR" w:bidi="ar-SA"/>
        </w:rPr>
        <w:t>2023</w:t>
      </w:r>
    </w:p>
    <w:p>
      <w:pPr>
        <w:pStyle w:val="Normal"/>
        <w:spacing w:before="0" w:after="0"/>
        <w:ind w:right="-284" w:hanging="142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0" w:after="0"/>
        <w:ind w:right="-284" w:hanging="142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0" w:after="0"/>
        <w:ind w:right="-284" w:hanging="142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0" w:after="0"/>
        <w:ind w:right="-284" w:hanging="142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0" w:after="0"/>
        <w:ind w:right="-284" w:hanging="142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0" w:after="0"/>
        <w:ind w:right="-284" w:hanging="142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0" w:after="0"/>
        <w:ind w:right="-284" w:hanging="142"/>
        <w:jc w:val="center"/>
        <w:rPr>
          <w:sz w:val="22"/>
          <w:szCs w:val="22"/>
        </w:rPr>
      </w:pPr>
      <w:r>
        <w:rPr>
          <w:rFonts w:eastAsia="Times New Roman" w:cs="Times New Roman" w:ascii="Times New Roman" w:hAnsi="Times New Roman"/>
          <w:b/>
          <w:bCs/>
          <w:color w:val="000000"/>
          <w:kern w:val="0"/>
          <w:sz w:val="22"/>
          <w:szCs w:val="22"/>
          <w:lang w:val="pt-BR" w:eastAsia="pt-BR" w:bidi="ar-SA"/>
        </w:rPr>
        <w:t xml:space="preserve">JOÃO MAURICIO PASSUELO ZANNETTE </w:t>
      </w:r>
      <w:r>
        <w:rPr>
          <w:rFonts w:cs="Times New Roman" w:ascii="Times New Roman" w:hAnsi="Times New Roman"/>
          <w:b/>
          <w:bCs/>
          <w:color w:val="00000A"/>
          <w:sz w:val="22"/>
          <w:szCs w:val="22"/>
        </w:rPr>
        <w:t xml:space="preserve">– </w:t>
      </w:r>
      <w:r>
        <w:rPr>
          <w:rFonts w:eastAsia="Times New Roman" w:cs="Times New Roman" w:ascii="Times New Roman" w:hAnsi="Times New Roman"/>
          <w:b/>
          <w:bCs/>
          <w:color w:val="00000A"/>
          <w:kern w:val="0"/>
          <w:sz w:val="22"/>
          <w:szCs w:val="22"/>
          <w:lang w:val="pt-BR" w:eastAsia="pt-BR" w:bidi="ar-SA"/>
        </w:rPr>
        <w:t>Maj</w:t>
      </w:r>
    </w:p>
    <w:p>
      <w:pPr>
        <w:pStyle w:val="Ttulo1"/>
        <w:spacing w:before="0" w:after="0"/>
        <w:jc w:val="center"/>
        <w:rPr>
          <w:highlight w:val="yellow"/>
        </w:rPr>
      </w:pPr>
      <w:r>
        <w:rPr>
          <w:rFonts w:cs="Times New Roman" w:ascii="Times New Roman" w:hAnsi="Times New Roman"/>
          <w:color w:val="00000A"/>
          <w:sz w:val="22"/>
          <w:szCs w:val="22"/>
        </w:rPr>
        <w:t>IDT: 021.648.504-5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         </w:t>
      </w:r>
      <w:r>
        <w:rPr>
          <w:rFonts w:cs="Times New Roman" w:ascii="Times New Roman" w:hAnsi="Times New Roman"/>
          <w:color w:val="000000" w:themeColor="text1"/>
          <w:sz w:val="22"/>
          <w:szCs w:val="22"/>
        </w:rPr>
        <w:t>CPF:</w:t>
      </w:r>
      <w:r>
        <w:rPr>
          <w:rFonts w:cs="Times New Roman" w:ascii="Times New Roman" w:hAnsi="Times New Roman"/>
          <w:color w:val="000000" w:themeColor="text1"/>
          <w:sz w:val="22"/>
          <w:szCs w:val="22"/>
          <w:shd w:fill="FFFFFF" w:val="clear"/>
        </w:rPr>
        <w:t xml:space="preserve">  976.938.120-91</w:t>
      </w:r>
    </w:p>
    <w:p>
      <w:pPr>
        <w:pStyle w:val="Ttulo1"/>
        <w:widowControl w:val="false"/>
        <w:spacing w:before="0" w:after="0"/>
        <w:ind w:right="-30" w:hanging="0"/>
        <w:jc w:val="center"/>
        <w:rPr>
          <w:rFonts w:ascii="Times New Roman" w:hAnsi="Times New Roman" w:cs="Times New Roman"/>
          <w:color w:val="00000A"/>
          <w:sz w:val="22"/>
          <w:szCs w:val="22"/>
        </w:rPr>
      </w:pPr>
      <w:r>
        <w:rPr>
          <w:rFonts w:cs="Times New Roman" w:ascii="Times New Roman" w:hAnsi="Times New Roman"/>
          <w:color w:val="00000A"/>
          <w:sz w:val="22"/>
          <w:szCs w:val="22"/>
        </w:rPr>
        <w:t>Ordenador de Despesas</w:t>
      </w:r>
    </w:p>
    <w:p>
      <w:pPr>
        <w:pStyle w:val="Normal"/>
        <w:widowControl w:val="false"/>
        <w:spacing w:before="0" w:after="0"/>
        <w:ind w:right="-30" w:hanging="0"/>
        <w:jc w:val="center"/>
        <w:rPr>
          <w:rFonts w:ascii="Times New Roman" w:hAnsi="Times New Roman" w:cs="Times New Roman"/>
          <w:color w:val="00000A"/>
          <w:sz w:val="22"/>
          <w:szCs w:val="22"/>
        </w:rPr>
      </w:pPr>
      <w:r>
        <w:rPr>
          <w:rFonts w:cs="Times New Roman" w:ascii="Times New Roman" w:hAnsi="Times New Roman"/>
          <w:color w:val="00000A"/>
          <w:sz w:val="22"/>
          <w:szCs w:val="22"/>
        </w:rPr>
      </w:r>
    </w:p>
    <w:p>
      <w:pPr>
        <w:pStyle w:val="Normal"/>
        <w:widowControl w:val="false"/>
        <w:spacing w:before="0" w:after="0"/>
        <w:ind w:right="-30" w:hanging="0"/>
        <w:jc w:val="center"/>
        <w:rPr>
          <w:rFonts w:ascii="Times New Roman" w:hAnsi="Times New Roman" w:cs="Times New Roman"/>
          <w:color w:val="00000A"/>
          <w:sz w:val="22"/>
          <w:szCs w:val="22"/>
        </w:rPr>
      </w:pPr>
      <w:r>
        <w:rPr>
          <w:rFonts w:cs="Times New Roman" w:ascii="Times New Roman" w:hAnsi="Times New Roman"/>
          <w:color w:val="00000A"/>
          <w:sz w:val="22"/>
          <w:szCs w:val="22"/>
        </w:rPr>
      </w:r>
    </w:p>
    <w:p>
      <w:pPr>
        <w:pStyle w:val="Normal"/>
        <w:widowControl w:val="false"/>
        <w:spacing w:before="0" w:after="0"/>
        <w:ind w:right="-30" w:hanging="0"/>
        <w:jc w:val="left"/>
        <w:rPr/>
      </w:pPr>
      <w:r>
        <w:rPr/>
      </w:r>
    </w:p>
    <w:p>
      <w:pPr>
        <w:pStyle w:val="Normal"/>
        <w:widowControl w:val="false"/>
        <w:spacing w:before="0" w:after="0"/>
        <w:ind w:right="-30" w:hanging="0"/>
        <w:jc w:val="left"/>
        <w:rPr/>
      </w:pPr>
      <w:r>
        <w:rPr/>
      </w:r>
    </w:p>
    <w:p>
      <w:pPr>
        <w:pStyle w:val="Ttulo1"/>
        <w:tabs>
          <w:tab w:val="clear" w:pos="708"/>
          <w:tab w:val="left" w:pos="0" w:leader="none"/>
        </w:tabs>
        <w:spacing w:before="0" w:after="0"/>
        <w:jc w:val="left"/>
        <w:rPr/>
      </w:pPr>
      <w:r>
        <w:rPr>
          <w:rFonts w:cs="Times New Roman" w:ascii="Times New Roman" w:hAnsi="Times New Roman"/>
          <w:color w:val="FF0000"/>
          <w:sz w:val="22"/>
          <w:szCs w:val="22"/>
        </w:rPr>
        <w:t>(nome completo da contratada)</w:t>
      </w:r>
    </w:p>
    <w:p>
      <w:pPr>
        <w:pStyle w:val="Ttulo1"/>
        <w:spacing w:before="0" w:after="0"/>
        <w:jc w:val="left"/>
        <w:rPr/>
      </w:pPr>
      <w:r>
        <w:rPr>
          <w:rFonts w:cs="Times New Roman" w:ascii="Times New Roman" w:hAnsi="Times New Roman"/>
          <w:color w:val="FF0000"/>
          <w:sz w:val="22"/>
          <w:szCs w:val="22"/>
        </w:rPr>
        <w:t>IDT:                           CPF:</w:t>
      </w:r>
    </w:p>
    <w:p>
      <w:pPr>
        <w:pStyle w:val="Ttulo1"/>
        <w:widowControl w:val="false"/>
        <w:spacing w:lineRule="auto" w:line="360" w:before="0" w:after="0"/>
        <w:ind w:right="-30" w:hanging="0"/>
        <w:jc w:val="left"/>
        <w:rPr>
          <w:rFonts w:ascii="Arial" w:hAnsi="Arial" w:cs="Arial"/>
          <w:sz w:val="20"/>
          <w:szCs w:val="20"/>
        </w:rPr>
      </w:pPr>
      <w:r>
        <w:rPr>
          <w:rFonts w:cs="Times New Roman" w:ascii="Times New Roman" w:hAnsi="Times New Roman"/>
          <w:color w:val="FF0000"/>
          <w:sz w:val="22"/>
          <w:szCs w:val="22"/>
        </w:rPr>
        <w:t>(Função/Cargo na empresa)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/>
      </w:r>
    </w:p>
    <w:sectPr>
      <w:footerReference w:type="default" r:id="rId3"/>
      <w:type w:val="nextPage"/>
      <w:pgSz w:w="11906" w:h="16838"/>
      <w:pgMar w:left="1701" w:right="1134" w:gutter="0" w:header="0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Ecofont_Spranq_eco_Sans">
    <w:charset w:val="01"/>
    <w:family w:val="roman"/>
    <w:pitch w:val="variable"/>
  </w:font>
  <w:font w:name="Cambria"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Ttulo"/>
    <w:next w:val="Corpodotexto"/>
    <w:qFormat/>
    <w:pPr>
      <w:spacing w:before="120" w:after="60"/>
      <w:outlineLvl w:val="4"/>
    </w:pPr>
    <w:rPr>
      <w:rFonts w:ascii="Liberation Serif" w:hAnsi="Liberation Serif" w:eastAsia="DejaVu Sans" w:cs="DejaVu Sans"/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LinkdaInternet">
    <w:name w:val="Link da Internet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RedChar" w:customStyle="1">
    <w:name w:val="Nível 2 -Red Char"/>
    <w:basedOn w:val="Nivel2Char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RChar" w:customStyle="1">
    <w:name w:val="Nível 3-R Char"/>
    <w:basedOn w:val="DefaultParagraphFont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GradeColoridanfase11" w:customStyle="1">
    <w:name w:val="Grade Colorida - Ênfase 11"/>
    <w:basedOn w:val="Normal"/>
    <w:next w:val="Normal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636001"/>
    <w:pPr>
      <w:tabs>
        <w:tab w:val="clear" w:pos="708"/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Red" w:customStyle="1">
    <w:name w:val="Nível 2 -Red"/>
    <w:basedOn w:val="Nivel2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qFormat/>
    <w:rsid w:val="009d6ccc"/>
    <w:pPr>
      <w:spacing w:lineRule="auto" w:line="259" w:before="60" w:after="60"/>
      <w:ind w:left="0" w:hanging="0"/>
      <w:contextualSpacing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R" w:customStyle="1">
    <w:name w:val="Nível 3-R"/>
    <w:basedOn w:val="Normal"/>
    <w:qFormat/>
    <w:rsid w:val="00b73e47"/>
    <w:pPr>
      <w:spacing w:lineRule="auto" w:line="276" w:before="120" w:after="120"/>
      <w:ind w:left="284" w:hanging="0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left="567" w:hanging="0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Application>LibreOffice/7.3.7.2$Linux_X86_64 LibreOffice_project/30$Build-2</Application>
  <AppVersion>15.0000</AppVersion>
  <Pages>7</Pages>
  <Words>2882</Words>
  <Characters>15957</Characters>
  <CharactersWithSpaces>18793</CharactersWithSpaces>
  <Paragraphs>128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dcterms:modified xsi:type="dcterms:W3CDTF">2024-04-03T15:21:45Z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